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ADE" w:rsidRDefault="00F2234B">
      <w:pPr>
        <w:pStyle w:val="Intestazione10"/>
        <w:framePr w:w="9364" w:h="11927" w:hRule="exact" w:wrap="around" w:vAnchor="page" w:hAnchor="page" w:x="1119" w:y="2198"/>
        <w:shd w:val="clear" w:color="auto" w:fill="auto"/>
        <w:spacing w:after="40" w:line="260" w:lineRule="exact"/>
        <w:ind w:left="20"/>
      </w:pPr>
      <w:bookmarkStart w:id="0" w:name="bookmark0"/>
      <w:r w:rsidRPr="00084DA4">
        <w:rPr>
          <w:lang w:eastAsia="en-US" w:bidi="en-US"/>
        </w:rPr>
        <w:t xml:space="preserve">Art. 1 - </w:t>
      </w:r>
      <w:r>
        <w:t xml:space="preserve">ISCRIZIONE </w:t>
      </w:r>
      <w:r w:rsidRPr="00084DA4">
        <w:rPr>
          <w:lang w:eastAsia="en-US" w:bidi="en-US"/>
        </w:rPr>
        <w:t>-</w:t>
      </w:r>
      <w:bookmarkEnd w:id="0"/>
    </w:p>
    <w:p w:rsidR="00084DA4" w:rsidRDefault="00F2234B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/>
        <w:ind w:left="20" w:right="20" w:firstLine="0"/>
      </w:pPr>
      <w:r>
        <w:t>L’iscrizione all’Albo Fornitori qualificati è gratuita e su richiesta degli interessati che c</w:t>
      </w:r>
      <w:r w:rsidR="00084DA4">
        <w:t>on formula dell’accreditamento presso la piattaforma su:</w:t>
      </w:r>
    </w:p>
    <w:p w:rsidR="00084DA4" w:rsidRPr="00084DA4" w:rsidRDefault="00084DA4" w:rsidP="00084DA4">
      <w:pPr>
        <w:pStyle w:val="Corpodeltesto0"/>
        <w:framePr w:w="9364" w:h="11927" w:hRule="exact" w:wrap="around" w:vAnchor="page" w:hAnchor="page" w:x="1119" w:y="2198"/>
        <w:numPr>
          <w:ilvl w:val="0"/>
          <w:numId w:val="7"/>
        </w:numPr>
        <w:shd w:val="clear" w:color="auto" w:fill="auto"/>
        <w:spacing w:before="0"/>
        <w:ind w:right="20"/>
        <w:rPr>
          <w:rStyle w:val="MacchinadascrivereHTML"/>
          <w:rFonts w:ascii="Trebuchet MS" w:eastAsia="Trebuchet MS" w:hAnsi="Trebuchet MS" w:cs="Trebuchet MS"/>
          <w:sz w:val="24"/>
          <w:szCs w:val="24"/>
        </w:rPr>
      </w:pPr>
      <w:r>
        <w:rPr>
          <w:rStyle w:val="MacchinadascrivereHTML"/>
          <w:rFonts w:eastAsia="Trebuchet MS"/>
          <w:sz w:val="24"/>
          <w:szCs w:val="24"/>
          <w:shd w:val="clear" w:color="auto" w:fill="FFFFFF"/>
        </w:rPr>
        <w:t>Link registrazione fornitore: </w:t>
      </w:r>
      <w:r>
        <w:rPr>
          <w:rFonts w:ascii="Courier New" w:hAnsi="Courier New" w:cs="Courier New"/>
          <w:shd w:val="clear" w:color="auto" w:fill="FFFFFF"/>
        </w:rPr>
        <w:br/>
      </w:r>
      <w:hyperlink r:id="rId7" w:history="1">
        <w:r w:rsidRPr="000B46BA">
          <w:rPr>
            <w:rStyle w:val="Collegamentoipertestuale"/>
            <w:rFonts w:ascii="Courier New" w:hAnsi="Courier New" w:cs="Courier New"/>
            <w:shd w:val="clear" w:color="auto" w:fill="FFFFFF"/>
          </w:rPr>
          <w:t>http://fal.albofornitoriweb.it/web/public/albofornitori/registrazione/index</w:t>
        </w:r>
      </w:hyperlink>
      <w:r>
        <w:rPr>
          <w:rStyle w:val="MacchinadascrivereHTML"/>
          <w:rFonts w:eastAsia="Trebuchet MS"/>
          <w:sz w:val="24"/>
          <w:szCs w:val="24"/>
          <w:shd w:val="clear" w:color="auto" w:fill="FFFFFF"/>
        </w:rPr>
        <w:t> </w:t>
      </w:r>
    </w:p>
    <w:p w:rsidR="00084DA4" w:rsidRDefault="00084DA4" w:rsidP="00084DA4">
      <w:pPr>
        <w:pStyle w:val="Corpodeltesto0"/>
        <w:framePr w:w="9364" w:h="11927" w:hRule="exact" w:wrap="around" w:vAnchor="page" w:hAnchor="page" w:x="1119" w:y="2198"/>
        <w:numPr>
          <w:ilvl w:val="0"/>
          <w:numId w:val="7"/>
        </w:numPr>
        <w:shd w:val="clear" w:color="auto" w:fill="auto"/>
        <w:spacing w:before="0"/>
        <w:ind w:right="20"/>
      </w:pPr>
      <w:r>
        <w:rPr>
          <w:rStyle w:val="MacchinadascrivereHTML"/>
          <w:rFonts w:eastAsia="Trebuchet MS"/>
          <w:sz w:val="24"/>
          <w:szCs w:val="24"/>
          <w:shd w:val="clear" w:color="auto" w:fill="FFFFFF"/>
        </w:rPr>
        <w:t>Link registrazione professionista: </w:t>
      </w:r>
      <w:r>
        <w:rPr>
          <w:rFonts w:ascii="Courier New" w:hAnsi="Courier New" w:cs="Courier New"/>
          <w:shd w:val="clear" w:color="auto" w:fill="FFFFFF"/>
        </w:rPr>
        <w:br/>
      </w:r>
      <w:hyperlink w:tgtFrame="_blank" w:history="1">
        <w:r>
          <w:rPr>
            <w:rStyle w:val="Collegamentoipertestuale"/>
            <w:rFonts w:ascii="Courier New" w:hAnsi="Courier New" w:cs="Courier New"/>
            <w:color w:val="007DBC"/>
            <w:shd w:val="clear" w:color="auto" w:fill="FFFFFF"/>
          </w:rPr>
          <w:t>http://</w:t>
        </w:r>
      </w:hyperlink>
      <w:r>
        <w:rPr>
          <w:rStyle w:val="MacchinadascrivereHTML"/>
          <w:rFonts w:eastAsia="Trebuchet MS"/>
          <w:sz w:val="24"/>
          <w:szCs w:val="24"/>
          <w:shd w:val="clear" w:color="auto" w:fill="FFFFFF"/>
        </w:rPr>
        <w:t>fal.albofornitoriweb.it/web/public/alboprofessionisti/registrazione/index 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/>
        <w:ind w:left="20" w:right="20" w:firstLine="0"/>
      </w:pPr>
      <w:r>
        <w:t xml:space="preserve"> e sotto la propria responsabilità, indicano il possesso dei requisiti richiesti per poter contrattare con </w:t>
      </w:r>
      <w:r w:rsidR="00A155DC">
        <w:t>l’Azienda. L'avv</w:t>
      </w:r>
      <w:r>
        <w:t xml:space="preserve">enuta </w:t>
      </w:r>
      <w:r w:rsidR="00084DA4">
        <w:t xml:space="preserve"> accettazione della domanda  viene comunicata </w:t>
      </w:r>
      <w:r>
        <w:t xml:space="preserve"> entro 30 giorni dal ricevimento della richiesta e non pone in essere alcun obbligo per le Ferrovie Appulo Lucane nei confronti delle singole ditte.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/>
        <w:ind w:left="20" w:right="20" w:firstLine="0"/>
      </w:pPr>
      <w:r>
        <w:t xml:space="preserve">La durata dell’iscrizione all’Albo non è soggetta a vincoli temporali, fatte salve le cause di decadenza ed </w:t>
      </w:r>
      <w:r w:rsidR="00084DA4">
        <w:t>esclusione previste dall’art.</w:t>
      </w:r>
      <w:r w:rsidR="00084DA4" w:rsidRPr="00A155DC">
        <w:rPr>
          <w:color w:val="auto"/>
        </w:rPr>
        <w:t xml:space="preserve"> </w:t>
      </w:r>
      <w:r w:rsidR="00A155DC" w:rsidRPr="00A155DC">
        <w:rPr>
          <w:color w:val="auto"/>
        </w:rPr>
        <w:t>3</w:t>
      </w:r>
      <w:r w:rsidR="00084DA4" w:rsidRPr="00A155DC">
        <w:rPr>
          <w:color w:val="auto"/>
        </w:rPr>
        <w:t xml:space="preserve"> </w:t>
      </w:r>
      <w:r>
        <w:t>del Regolamento.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/>
        <w:ind w:left="20" w:right="20" w:firstLine="0"/>
      </w:pPr>
      <w:r>
        <w:t xml:space="preserve">L'iscrizione è riservata alle imprese individuali o collettive legalmente costituite e viene effettuata per categorie merceologiche (v. </w:t>
      </w:r>
      <w:r w:rsidR="00A155DC">
        <w:t>allegato 1</w:t>
      </w:r>
      <w:r>
        <w:t>).</w:t>
      </w:r>
    </w:p>
    <w:p w:rsidR="00084DA4" w:rsidRDefault="00F2234B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 w:line="533" w:lineRule="exact"/>
        <w:ind w:left="20" w:right="400" w:firstLine="0"/>
        <w:jc w:val="left"/>
        <w:rPr>
          <w:rStyle w:val="Corpodeltesto13ptGrassetto"/>
        </w:rPr>
      </w:pPr>
      <w:r>
        <w:t>Le imprese i</w:t>
      </w:r>
      <w:r w:rsidR="00084DA4">
        <w:t xml:space="preserve">scritte sono tenute ad aggiornare  periodicamente confermando o apportando  variazioni relative ai dati forniti, nonché </w:t>
      </w:r>
      <w:r w:rsidR="00A155DC">
        <w:t xml:space="preserve"> alla validità delle  documentazioni prodotte. </w:t>
      </w:r>
    </w:p>
    <w:p w:rsidR="00AE3ADE" w:rsidRDefault="00A155DC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 w:line="533" w:lineRule="exact"/>
        <w:ind w:left="20" w:right="400" w:firstLine="0"/>
        <w:jc w:val="left"/>
      </w:pPr>
      <w:r>
        <w:rPr>
          <w:rStyle w:val="Corpodeltesto13ptGrassetto"/>
        </w:rPr>
        <w:t xml:space="preserve">Art. 2 </w:t>
      </w:r>
      <w:r w:rsidR="00F2234B">
        <w:rPr>
          <w:rStyle w:val="Corpodeltesto13ptGrassetto"/>
        </w:rPr>
        <w:t>- REQUISITI -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shd w:val="clear" w:color="auto" w:fill="auto"/>
        <w:spacing w:before="0"/>
        <w:ind w:left="20" w:right="20" w:firstLine="0"/>
      </w:pPr>
      <w:r>
        <w:t>Per l'iscrizione all’Albo gli interessati dovranno dichiarare il possesso dei seguenti requisiti di ordine generale: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numPr>
          <w:ilvl w:val="0"/>
          <w:numId w:val="1"/>
        </w:numPr>
        <w:shd w:val="clear" w:color="auto" w:fill="auto"/>
        <w:spacing w:before="0"/>
        <w:ind w:left="680"/>
      </w:pPr>
      <w:r>
        <w:t xml:space="preserve"> iscrizione nel Registro delle Imprese;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numPr>
          <w:ilvl w:val="0"/>
          <w:numId w:val="1"/>
        </w:numPr>
        <w:shd w:val="clear" w:color="auto" w:fill="auto"/>
        <w:spacing w:before="0"/>
        <w:ind w:left="680" w:right="20"/>
      </w:pPr>
      <w:r>
        <w:t xml:space="preserve"> di non essere a conoscenza di alcun provvedimento di cui al D.P.R. 252/98 (antimafia);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numPr>
          <w:ilvl w:val="0"/>
          <w:numId w:val="1"/>
        </w:numPr>
        <w:shd w:val="clear" w:color="auto" w:fill="auto"/>
        <w:spacing w:before="0"/>
        <w:ind w:left="680"/>
      </w:pPr>
      <w:r>
        <w:t xml:space="preserve"> l’inesistenza di carichi pendenti;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numPr>
          <w:ilvl w:val="0"/>
          <w:numId w:val="1"/>
        </w:numPr>
        <w:shd w:val="clear" w:color="auto" w:fill="auto"/>
        <w:spacing w:before="0" w:line="270" w:lineRule="exact"/>
        <w:ind w:left="680" w:right="20"/>
      </w:pPr>
      <w:r>
        <w:t xml:space="preserve"> di essere in regola con gli obblighi relativi al pagamento dei contributi previdenziali ed assistenziali a favore dei lavoratori dipendenti;</w:t>
      </w:r>
    </w:p>
    <w:p w:rsidR="00AE3ADE" w:rsidRDefault="00F2234B">
      <w:pPr>
        <w:pStyle w:val="Corpodeltesto0"/>
        <w:framePr w:w="9364" w:h="11927" w:hRule="exact" w:wrap="around" w:vAnchor="page" w:hAnchor="page" w:x="1119" w:y="2198"/>
        <w:numPr>
          <w:ilvl w:val="0"/>
          <w:numId w:val="1"/>
        </w:numPr>
        <w:shd w:val="clear" w:color="auto" w:fill="auto"/>
        <w:spacing w:before="0" w:after="248" w:line="270" w:lineRule="exact"/>
        <w:ind w:left="680" w:right="20"/>
      </w:pPr>
      <w:r>
        <w:t xml:space="preserve"> di essere in regola con le disposizioni di cui alla legge 12 marzo 1999, n. 68, (in caso di assoggettabilità alla norma).</w:t>
      </w:r>
    </w:p>
    <w:p w:rsidR="00AE3ADE" w:rsidRPr="00BD4D29" w:rsidRDefault="00AE3ADE" w:rsidP="00BD4D29">
      <w:pPr>
        <w:pStyle w:val="Corpodeltesto0"/>
        <w:framePr w:w="9364" w:h="11927" w:hRule="exact" w:wrap="around" w:vAnchor="page" w:hAnchor="page" w:x="1093" w:y="14261"/>
        <w:shd w:val="clear" w:color="auto" w:fill="auto"/>
        <w:spacing w:before="0" w:after="248" w:line="190" w:lineRule="exact"/>
        <w:ind w:left="20" w:right="20" w:firstLine="0"/>
        <w:rPr>
          <w:sz w:val="2"/>
          <w:szCs w:val="2"/>
        </w:rPr>
        <w:sectPr w:rsidR="00AE3ADE" w:rsidRPr="00BD4D29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E3ADE" w:rsidRDefault="00A155DC" w:rsidP="004026EE">
      <w:pPr>
        <w:pStyle w:val="Corpodeltesto30"/>
        <w:framePr w:w="9356" w:h="8701" w:hRule="exact" w:wrap="around" w:vAnchor="page" w:hAnchor="page" w:x="1433" w:y="2997"/>
        <w:shd w:val="clear" w:color="auto" w:fill="auto"/>
        <w:spacing w:before="0" w:after="36" w:line="260" w:lineRule="exact"/>
      </w:pPr>
      <w:bookmarkStart w:id="1" w:name="_GoBack"/>
      <w:bookmarkEnd w:id="1"/>
      <w:r>
        <w:lastRenderedPageBreak/>
        <w:t>Art. 3</w:t>
      </w:r>
      <w:r w:rsidR="00F2234B">
        <w:t xml:space="preserve"> - CAUSE DI DECADENZA ED ESCLUSIONE -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shd w:val="clear" w:color="auto" w:fill="auto"/>
        <w:spacing w:before="0"/>
        <w:ind w:left="20" w:firstLine="0"/>
      </w:pPr>
      <w:r>
        <w:t>Le Ferrovie Appulo Lucane potranno in qualsiasi momento e a proprio insindacabile giudizio disporre la cancellazione dall'Albo Fornitori delle imprese: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numPr>
          <w:ilvl w:val="0"/>
          <w:numId w:val="3"/>
        </w:numPr>
        <w:shd w:val="clear" w:color="auto" w:fill="auto"/>
        <w:spacing w:before="0"/>
        <w:ind w:left="700"/>
      </w:pPr>
      <w:r>
        <w:t xml:space="preserve"> che abbiano cessato la propria attività;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numPr>
          <w:ilvl w:val="0"/>
          <w:numId w:val="3"/>
        </w:numPr>
        <w:shd w:val="clear" w:color="auto" w:fill="auto"/>
        <w:spacing w:before="0"/>
        <w:ind w:left="700"/>
      </w:pPr>
      <w:r>
        <w:t xml:space="preserve"> che abbiano perso i requisiti richiesti per l’iscrizione all’Albo Fornitori;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numPr>
          <w:ilvl w:val="0"/>
          <w:numId w:val="3"/>
        </w:numPr>
        <w:shd w:val="clear" w:color="auto" w:fill="auto"/>
        <w:spacing w:before="0"/>
        <w:ind w:left="700"/>
      </w:pPr>
      <w:r>
        <w:t xml:space="preserve"> che abbiano, senza un giustificato motivo, rinunciato ad un appalto o fornitura;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numPr>
          <w:ilvl w:val="0"/>
          <w:numId w:val="3"/>
        </w:numPr>
        <w:shd w:val="clear" w:color="auto" w:fill="auto"/>
        <w:spacing w:before="0"/>
        <w:ind w:left="700"/>
      </w:pPr>
      <w:r>
        <w:t xml:space="preserve"> che non abbiano assolto con puntualità e diligenza alle obbligazioni contrattuali o, nell'esecuzione del contratto, si siano rese responsabili di gravi irregolarità, inadempienze o negligenze;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numPr>
          <w:ilvl w:val="0"/>
          <w:numId w:val="3"/>
        </w:numPr>
        <w:shd w:val="clear" w:color="auto" w:fill="auto"/>
        <w:spacing w:before="0"/>
        <w:ind w:left="700"/>
      </w:pPr>
      <w:r>
        <w:t xml:space="preserve"> i cui legali rappresentanti e amministratori siano incorsi in condanne lesive della moralità e della correttezza commerciale o risultino colpevoli di ripetute violazioni delle norme a tutela del lavoro e della previdenza sociale;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numPr>
          <w:ilvl w:val="0"/>
          <w:numId w:val="3"/>
        </w:numPr>
        <w:shd w:val="clear" w:color="auto" w:fill="auto"/>
        <w:spacing w:before="0"/>
        <w:ind w:left="700"/>
      </w:pPr>
      <w:r>
        <w:t xml:space="preserve"> che abbiano ostacolato o rifiutato eventuali verifiche ispettive che le Ferrovie Appulo Lucane si riservano di effettuare.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shd w:val="clear" w:color="auto" w:fill="auto"/>
        <w:spacing w:before="0"/>
        <w:ind w:left="20" w:firstLine="0"/>
      </w:pPr>
      <w:r>
        <w:t>La cancellazione può inoltre essere disposta anche a richiesta dell'impresa.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shd w:val="clear" w:color="auto" w:fill="auto"/>
        <w:spacing w:before="0"/>
        <w:ind w:left="20" w:firstLine="0"/>
      </w:pPr>
      <w:r>
        <w:t>Una nuova iscrizione non potrà essere richiesta prima di due anni dalla cancellazione.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shd w:val="clear" w:color="auto" w:fill="auto"/>
        <w:spacing w:before="0" w:after="251"/>
        <w:ind w:left="20" w:firstLine="0"/>
      </w:pPr>
      <w:r>
        <w:t>Eventuali difformità tra quanto dichiarato all’atto della richiesta di iscrizione e quanto diversamente accertato comporta, oltre alla cancellazione dall’Albo, l’interruzione immediata di qualsiasi rapporto in essere, nonché la preclusione ad instaurare qualsiasi futuro rapporto con l'Azienda.</w:t>
      </w:r>
    </w:p>
    <w:p w:rsidR="00AE3ADE" w:rsidRDefault="00A155DC">
      <w:pPr>
        <w:pStyle w:val="Corpodeltesto30"/>
        <w:framePr w:w="9356" w:h="8701" w:hRule="exact" w:wrap="around" w:vAnchor="page" w:hAnchor="page" w:x="1433" w:y="2997"/>
        <w:shd w:val="clear" w:color="auto" w:fill="auto"/>
        <w:spacing w:before="0" w:after="46" w:line="260" w:lineRule="exact"/>
        <w:ind w:left="20"/>
      </w:pPr>
      <w:r>
        <w:t>Art. 4</w:t>
      </w:r>
      <w:r w:rsidR="00F2234B">
        <w:t xml:space="preserve"> - TRATTAMENTO DATI PERSONALI -</w:t>
      </w:r>
    </w:p>
    <w:p w:rsidR="00AE3ADE" w:rsidRDefault="00F2234B">
      <w:pPr>
        <w:pStyle w:val="Corpodeltesto0"/>
        <w:framePr w:w="9356" w:h="8701" w:hRule="exact" w:wrap="around" w:vAnchor="page" w:hAnchor="page" w:x="1433" w:y="2997"/>
        <w:shd w:val="clear" w:color="auto" w:fill="auto"/>
        <w:spacing w:before="0" w:line="270" w:lineRule="exact"/>
        <w:ind w:left="20" w:firstLine="0"/>
      </w:pPr>
      <w:r>
        <w:t>Ai sensi di quanto previsto dal D. Lgs. 196 del 30 giugno 2003, i dati personali saranno trattati esclusivamente per le finalità per cui sono stati raccolti, secondo principi di correttezza, liceità e trasparenza.</w:t>
      </w:r>
    </w:p>
    <w:p w:rsidR="00AE3ADE" w:rsidRDefault="00AE3ADE">
      <w:pPr>
        <w:rPr>
          <w:sz w:val="2"/>
          <w:szCs w:val="2"/>
        </w:rPr>
        <w:sectPr w:rsidR="00AE3AD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E3ADE" w:rsidRDefault="00F2234B">
      <w:pPr>
        <w:pStyle w:val="Corpodeltesto0"/>
        <w:framePr w:w="9360" w:h="2474" w:hRule="exact" w:wrap="around" w:vAnchor="page" w:hAnchor="page" w:x="1431" w:y="1294"/>
        <w:shd w:val="clear" w:color="auto" w:fill="auto"/>
        <w:tabs>
          <w:tab w:val="left" w:pos="5211"/>
          <w:tab w:val="left" w:leader="underscore" w:pos="8500"/>
        </w:tabs>
        <w:spacing w:before="0"/>
        <w:ind w:left="840" w:firstLine="0"/>
      </w:pPr>
      <w:r>
        <w:lastRenderedPageBreak/>
        <w:tab/>
      </w:r>
    </w:p>
    <w:p w:rsidR="00AE3ADE" w:rsidRDefault="00F2234B" w:rsidP="00BD4D29">
      <w:pPr>
        <w:pStyle w:val="Intestazioneopidipagina20"/>
        <w:framePr w:wrap="around" w:vAnchor="page" w:hAnchor="page" w:x="1300" w:y="2028"/>
        <w:shd w:val="clear" w:color="auto" w:fill="auto"/>
        <w:spacing w:line="230" w:lineRule="exact"/>
        <w:ind w:left="23"/>
      </w:pPr>
      <w:r>
        <w:t>ELENCO CATEGORIE MERCEOLOGICHE</w:t>
      </w:r>
    </w:p>
    <w:p w:rsidR="00AE3ADE" w:rsidRDefault="00F2234B">
      <w:pPr>
        <w:pStyle w:val="Corpodeltesto0"/>
        <w:framePr w:wrap="around" w:vAnchor="page" w:hAnchor="page" w:x="1200" w:y="2570"/>
        <w:shd w:val="clear" w:color="auto" w:fill="auto"/>
        <w:spacing w:before="0" w:line="240" w:lineRule="exact"/>
        <w:ind w:left="120" w:firstLine="0"/>
        <w:jc w:val="left"/>
      </w:pPr>
      <w:r>
        <w:t>FORNITURE DI MATERIALI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"/>
        <w:gridCol w:w="8546"/>
      </w:tblGrid>
      <w:tr w:rsidR="00AE3ADE">
        <w:trPr>
          <w:trHeight w:hRule="exact" w:val="29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Ricambi per Materiale Rotabile Ferroviario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1002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Ricambi per Autobus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1003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Ricambi per Autovetture di servizio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1004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Macchinari e Attrezzature per Impianti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1005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Macchinari e Attrezzature per Officina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1006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Mobili Macchine e Attrezzature per Ufficio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1007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Ricambi e Materiale di Consumo per macchine e Attrezzature per Impianti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1008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Ricambi e Materiale di Consumo per macchine e Attrezzature per Officina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1009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Ricambi e Materiale di Consumo per macchine e Attrezzature per Ufficio</w:t>
            </w:r>
          </w:p>
        </w:tc>
      </w:tr>
      <w:tr w:rsidR="00AE3ADE">
        <w:trPr>
          <w:trHeight w:hRule="exact" w:val="292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1010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Massa Vesti aria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Carburanti - Lubrificanti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1012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Informatica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1013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Materiale per armamento e relative attrezzature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1014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Materiale Edile e Legname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1015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Materiale per Segnalamento ferroviario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1016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Cancelleria, Stampati e Materiale vario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1017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Vernici e Prodotti chimici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1018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Ferramenta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1019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Antinfortunistica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1020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Materiau e Dispositivi elettrici, elettronici e tecnici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1021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Serramenti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1022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Arredo Uffici e stazioni</w:t>
            </w:r>
          </w:p>
        </w:tc>
      </w:tr>
      <w:tr w:rsidR="00AE3ADE">
        <w:trPr>
          <w:trHeight w:hRule="exact" w:val="306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240" w:lineRule="exact"/>
              <w:ind w:left="140" w:firstLine="0"/>
              <w:jc w:val="left"/>
            </w:pPr>
            <w:r>
              <w:rPr>
                <w:rStyle w:val="Corpodeltesto8"/>
              </w:rPr>
              <w:t>1023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3ADE" w:rsidRDefault="00F2234B">
            <w:pPr>
              <w:pStyle w:val="Corpodeltesto0"/>
              <w:framePr w:w="9504" w:h="6581" w:wrap="around" w:vAnchor="page" w:hAnchor="page" w:x="1203" w:y="3101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Carpenteria Pesante e Leggera</w:t>
            </w:r>
          </w:p>
        </w:tc>
      </w:tr>
    </w:tbl>
    <w:p w:rsidR="00AE3ADE" w:rsidRDefault="00AE3ADE">
      <w:pPr>
        <w:rPr>
          <w:sz w:val="2"/>
          <w:szCs w:val="2"/>
        </w:rPr>
        <w:sectPr w:rsidR="00AE3AD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E3ADE" w:rsidRDefault="00F2234B">
      <w:pPr>
        <w:pStyle w:val="Intestazioneopidipagina20"/>
        <w:framePr w:wrap="around" w:vAnchor="page" w:hAnchor="page" w:x="1290" w:y="2003"/>
        <w:shd w:val="clear" w:color="auto" w:fill="auto"/>
        <w:spacing w:line="230" w:lineRule="exact"/>
        <w:ind w:left="20"/>
      </w:pPr>
      <w:r>
        <w:lastRenderedPageBreak/>
        <w:t>PRESTAZIONI DI SERVIZI: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"/>
        <w:gridCol w:w="8554"/>
      </w:tblGrid>
      <w:tr w:rsidR="00AE3ADE">
        <w:trPr>
          <w:trHeight w:hRule="exact" w:val="302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2001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per Autobus e per Autovetture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2002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macchinari e attrezzature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2003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Pulizia, derattizzazione, disinfezione e disinfestazione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2004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Tipografici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2005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Ritiro, Trasporto e Smaltimento Rifiuti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2006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Grafici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2007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Pubblicitari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2008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Fotografici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2009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Informatici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2010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Trasporto e Spedizioni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2011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Verde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2012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attrezzature Antincendio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2013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Rettifiche, revisioni. Riparazioni di Parti Meccaniche Varie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2014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Taratura Strumenti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2015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Lavori Edili</w:t>
            </w:r>
          </w:p>
        </w:tc>
      </w:tr>
      <w:tr w:rsidR="00AE3ADE">
        <w:trPr>
          <w:trHeight w:hRule="exact" w:val="29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2016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Impianti tecnici e Tecnologici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2017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Rotabili Ferroviari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2018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Costruzione e Lavorazione di Parti meccaniche</w:t>
            </w:r>
          </w:p>
        </w:tc>
      </w:tr>
      <w:tr w:rsidR="00AE3ADE"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2019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Manutenzione Tappezzeria Rotabili</w:t>
            </w:r>
          </w:p>
        </w:tc>
      </w:tr>
      <w:tr w:rsidR="00AE3ADE">
        <w:trPr>
          <w:trHeight w:hRule="exact" w:val="28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2020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Formazione e Certificazione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2021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Servizi per l’Ingegneria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2022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Gestione archivi</w:t>
            </w:r>
          </w:p>
        </w:tc>
      </w:tr>
      <w:tr w:rsidR="00AE3ADE">
        <w:trPr>
          <w:trHeight w:hRule="exact" w:val="28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2023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Vigilanza</w:t>
            </w:r>
          </w:p>
        </w:tc>
      </w:tr>
      <w:tr w:rsidR="00AE3ADE">
        <w:trPr>
          <w:trHeight w:hRule="exact" w:val="302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240" w:lineRule="exact"/>
              <w:ind w:left="120" w:firstLine="0"/>
              <w:jc w:val="left"/>
            </w:pPr>
            <w:r>
              <w:rPr>
                <w:rStyle w:val="Corpodeltesto8"/>
              </w:rPr>
              <w:t>2024</w:t>
            </w:r>
          </w:p>
        </w:tc>
        <w:tc>
          <w:tcPr>
            <w:tcW w:w="8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3ADE" w:rsidRDefault="00F2234B">
            <w:pPr>
              <w:pStyle w:val="Corpodeltesto0"/>
              <w:framePr w:w="9511" w:h="6880" w:wrap="around" w:vAnchor="page" w:hAnchor="page" w:x="1200" w:y="2514"/>
              <w:shd w:val="clear" w:color="auto" w:fill="auto"/>
              <w:spacing w:before="0" w:line="190" w:lineRule="exact"/>
              <w:ind w:left="100" w:firstLine="0"/>
              <w:jc w:val="left"/>
            </w:pPr>
            <w:r>
              <w:rPr>
                <w:rStyle w:val="Corpodeltesto95ptGrassettoMaiuscolettoSpaziatura0pt"/>
              </w:rPr>
              <w:t>Lavoro temporaneo, Ricerca e selezione personale</w:t>
            </w:r>
          </w:p>
        </w:tc>
      </w:tr>
    </w:tbl>
    <w:p w:rsidR="00AE3ADE" w:rsidRDefault="00AE3ADE">
      <w:pPr>
        <w:rPr>
          <w:sz w:val="2"/>
          <w:szCs w:val="2"/>
        </w:rPr>
      </w:pPr>
    </w:p>
    <w:sectPr w:rsidR="00AE3ADE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69C" w:rsidRDefault="0068369C">
      <w:r>
        <w:separator/>
      </w:r>
    </w:p>
  </w:endnote>
  <w:endnote w:type="continuationSeparator" w:id="0">
    <w:p w:rsidR="0068369C" w:rsidRDefault="0068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69C" w:rsidRDefault="0068369C">
      <w:r>
        <w:separator/>
      </w:r>
    </w:p>
  </w:footnote>
  <w:footnote w:type="continuationSeparator" w:id="0">
    <w:p w:rsidR="0068369C" w:rsidRDefault="00683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22D61"/>
    <w:multiLevelType w:val="multilevel"/>
    <w:tmpl w:val="436E46DE"/>
    <w:lvl w:ilvl="0">
      <w:start w:val="12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8A1AB8"/>
    <w:multiLevelType w:val="multilevel"/>
    <w:tmpl w:val="70DE7E94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DC5A30"/>
    <w:multiLevelType w:val="multilevel"/>
    <w:tmpl w:val="6F3A5C98"/>
    <w:lvl w:ilvl="0">
      <w:start w:val="1"/>
      <w:numFmt w:val="lowerLetter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D13218"/>
    <w:multiLevelType w:val="multilevel"/>
    <w:tmpl w:val="14BAA68A"/>
    <w:lvl w:ilvl="0">
      <w:start w:val="1"/>
      <w:numFmt w:val="lowerLetter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1E1888"/>
    <w:multiLevelType w:val="multilevel"/>
    <w:tmpl w:val="9242966A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E40638"/>
    <w:multiLevelType w:val="multilevel"/>
    <w:tmpl w:val="A0986AB6"/>
    <w:lvl w:ilvl="0">
      <w:start w:val="2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813CC0"/>
    <w:multiLevelType w:val="hybridMultilevel"/>
    <w:tmpl w:val="FAE48230"/>
    <w:lvl w:ilvl="0" w:tplc="DEE6DE84">
      <w:numFmt w:val="bullet"/>
      <w:lvlText w:val="-"/>
      <w:lvlJc w:val="left"/>
      <w:pPr>
        <w:ind w:left="380" w:hanging="360"/>
      </w:pPr>
      <w:rPr>
        <w:rFonts w:ascii="Trebuchet MS" w:eastAsia="Trebuchet MS" w:hAnsi="Trebuchet MS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E3ADE"/>
    <w:rsid w:val="00084DA4"/>
    <w:rsid w:val="004026EE"/>
    <w:rsid w:val="0068369C"/>
    <w:rsid w:val="006E0F69"/>
    <w:rsid w:val="00A155DC"/>
    <w:rsid w:val="00AE3ADE"/>
    <w:rsid w:val="00BD4D29"/>
    <w:rsid w:val="00F2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C73B8-F0B3-487C-9733-4DD164E9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1">
    <w:name w:val="Intestazione #1_"/>
    <w:basedOn w:val="Carpredefinitoparagrafo"/>
    <w:link w:val="Intestazione10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Corpodeltesto">
    <w:name w:val="Corpo del testo_"/>
    <w:basedOn w:val="Carpredefinitoparagrafo"/>
    <w:link w:val="Corpodeltesto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Corpodeltesto13ptGrassetto">
    <w:name w:val="Corpo del testo + 13 pt;Grassetto"/>
    <w:basedOn w:val="Corpodeltesto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it-IT" w:eastAsia="it-IT" w:bidi="it-IT"/>
    </w:rPr>
  </w:style>
  <w:style w:type="character" w:customStyle="1" w:styleId="Corpodeltesto2">
    <w:name w:val="Corpo del testo (2)_"/>
    <w:basedOn w:val="Carpredefinitoparagrafo"/>
    <w:link w:val="Corpodeltesto20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Corpodeltesto2Spaziatura0pt">
    <w:name w:val="Corpo del testo (2) + Spaziatura 0 pt"/>
    <w:basedOn w:val="Corpodeltesto2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it-IT" w:eastAsia="it-IT" w:bidi="it-IT"/>
    </w:rPr>
  </w:style>
  <w:style w:type="character" w:customStyle="1" w:styleId="Intestazioneopidipagina">
    <w:name w:val="Intestazione o piè di pagina_"/>
    <w:basedOn w:val="Carpredefinitoparagrafo"/>
    <w:link w:val="Intestazioneopidipagina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orpodeltesto3">
    <w:name w:val="Corpo del testo (3)_"/>
    <w:basedOn w:val="Carpredefinitoparagrafo"/>
    <w:link w:val="Corpodeltesto30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IntestazioneopidipaginaCorsivo">
    <w:name w:val="Intestazione o piè di pagina + Corsivo"/>
    <w:basedOn w:val="Intestazioneopidipagina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it-IT" w:eastAsia="it-IT" w:bidi="it-IT"/>
    </w:rPr>
  </w:style>
  <w:style w:type="character" w:customStyle="1" w:styleId="Corpodeltesto4">
    <w:name w:val="Corpo del testo (4)_"/>
    <w:basedOn w:val="Carpredefinitoparagrafo"/>
    <w:link w:val="Corpodeltesto40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-10"/>
      <w:u w:val="none"/>
    </w:rPr>
  </w:style>
  <w:style w:type="character" w:customStyle="1" w:styleId="Corpodeltesto5">
    <w:name w:val="Corpo del testo (5)_"/>
    <w:basedOn w:val="Carpredefinitoparagrafo"/>
    <w:link w:val="Corpodeltesto5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orpodeltesto1">
    <w:name w:val="Corpo del testo"/>
    <w:basedOn w:val="Corpodeltesto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it-IT" w:eastAsia="it-IT" w:bidi="it-IT"/>
    </w:rPr>
  </w:style>
  <w:style w:type="character" w:customStyle="1" w:styleId="Corpodeltesto6">
    <w:name w:val="Corpo del testo (6)_"/>
    <w:basedOn w:val="Carpredefinitoparagrafo"/>
    <w:link w:val="Corpodeltesto6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orpodeltesto7">
    <w:name w:val="Corpo del testo (7)_"/>
    <w:basedOn w:val="Carpredefinitoparagrafo"/>
    <w:link w:val="Corpodeltesto70"/>
    <w:rPr>
      <w:rFonts w:ascii="Trebuchet MS" w:eastAsia="Trebuchet MS" w:hAnsi="Trebuchet MS" w:cs="Trebuchet MS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orpodeltesto7Noncorsivo">
    <w:name w:val="Corpo del testo (7) + Non corsivo"/>
    <w:basedOn w:val="Corpodeltesto7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it-IT" w:eastAsia="it-IT" w:bidi="it-IT"/>
    </w:rPr>
  </w:style>
  <w:style w:type="character" w:customStyle="1" w:styleId="Notaapidipagina">
    <w:name w:val="Nota a piè di pagina_"/>
    <w:basedOn w:val="Carpredefinitoparagrafo"/>
    <w:link w:val="Notaapidipagina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otaapidipaginaNongrassetto">
    <w:name w:val="Nota a piè di pagina + Non grassetto"/>
    <w:basedOn w:val="Notaapidipagina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it-IT" w:eastAsia="it-IT" w:bidi="it-IT"/>
    </w:rPr>
  </w:style>
  <w:style w:type="character" w:customStyle="1" w:styleId="Notaapidipagina95pt">
    <w:name w:val="Nota a piè di pagina + 9;5 pt"/>
    <w:basedOn w:val="Notaapidipagina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it-IT" w:eastAsia="it-IT" w:bidi="it-IT"/>
    </w:rPr>
  </w:style>
  <w:style w:type="character" w:customStyle="1" w:styleId="Intestazioneopidipagina2">
    <w:name w:val="Intestazione o piè di pagina (2)_"/>
    <w:basedOn w:val="Carpredefinitoparagrafo"/>
    <w:link w:val="Intestazioneopidipagina2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Corpodeltesto8">
    <w:name w:val="Corpo del testo"/>
    <w:basedOn w:val="Corpodeltesto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it-IT" w:eastAsia="it-IT" w:bidi="it-IT"/>
    </w:rPr>
  </w:style>
  <w:style w:type="character" w:customStyle="1" w:styleId="Corpodeltesto95ptGrassettoMaiuscolettoSpaziatura0pt">
    <w:name w:val="Corpo del testo + 9;5 pt;Grassetto;Maiuscoletto;Spaziatura 0 pt"/>
    <w:basedOn w:val="Corpodeltesto"/>
    <w:rPr>
      <w:rFonts w:ascii="Trebuchet MS" w:eastAsia="Trebuchet MS" w:hAnsi="Trebuchet MS" w:cs="Trebuchet MS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it-IT" w:eastAsia="it-IT" w:bidi="it-IT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after="120" w:line="0" w:lineRule="atLeast"/>
      <w:jc w:val="both"/>
      <w:outlineLvl w:val="0"/>
    </w:pPr>
    <w:rPr>
      <w:rFonts w:ascii="Trebuchet MS" w:eastAsia="Trebuchet MS" w:hAnsi="Trebuchet MS" w:cs="Trebuchet MS"/>
      <w:b/>
      <w:bCs/>
      <w:spacing w:val="-10"/>
      <w:sz w:val="26"/>
      <w:szCs w:val="26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120" w:line="274" w:lineRule="exact"/>
      <w:ind w:hanging="340"/>
      <w:jc w:val="both"/>
    </w:pPr>
    <w:rPr>
      <w:rFonts w:ascii="Trebuchet MS" w:eastAsia="Trebuchet MS" w:hAnsi="Trebuchet MS" w:cs="Trebuchet MS"/>
      <w:spacing w:val="-10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after="120" w:line="0" w:lineRule="atLeast"/>
      <w:jc w:val="both"/>
    </w:pPr>
    <w:rPr>
      <w:rFonts w:ascii="Trebuchet MS" w:eastAsia="Trebuchet MS" w:hAnsi="Trebuchet MS" w:cs="Trebuchet MS"/>
      <w:i/>
      <w:iCs/>
      <w:spacing w:val="-10"/>
    </w:rPr>
  </w:style>
  <w:style w:type="paragraph" w:customStyle="1" w:styleId="Intestazioneopidipagina0">
    <w:name w:val="Intestazione o piè di pagina"/>
    <w:basedOn w:val="Normale"/>
    <w:link w:val="Intestazioneopidipagina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before="240" w:after="120" w:line="0" w:lineRule="atLeast"/>
      <w:jc w:val="both"/>
    </w:pPr>
    <w:rPr>
      <w:rFonts w:ascii="Trebuchet MS" w:eastAsia="Trebuchet MS" w:hAnsi="Trebuchet MS" w:cs="Trebuchet MS"/>
      <w:b/>
      <w:bCs/>
      <w:spacing w:val="-10"/>
      <w:sz w:val="26"/>
      <w:szCs w:val="26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line="418" w:lineRule="exact"/>
      <w:jc w:val="center"/>
    </w:pPr>
    <w:rPr>
      <w:rFonts w:ascii="Trebuchet MS" w:eastAsia="Trebuchet MS" w:hAnsi="Trebuchet MS" w:cs="Trebuchet MS"/>
      <w:b/>
      <w:bCs/>
      <w:spacing w:val="-10"/>
    </w:rPr>
  </w:style>
  <w:style w:type="paragraph" w:customStyle="1" w:styleId="Corpodeltesto50">
    <w:name w:val="Corpo del testo (5)"/>
    <w:basedOn w:val="Normale"/>
    <w:link w:val="Corpodeltesto5"/>
    <w:pPr>
      <w:shd w:val="clear" w:color="auto" w:fill="FFFFFF"/>
      <w:spacing w:line="418" w:lineRule="exact"/>
      <w:jc w:val="center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Corpodeltesto60">
    <w:name w:val="Corpo del testo (6)"/>
    <w:basedOn w:val="Normale"/>
    <w:link w:val="Corpodeltesto6"/>
    <w:pPr>
      <w:shd w:val="clear" w:color="auto" w:fill="FFFFFF"/>
      <w:spacing w:before="180" w:after="300" w:line="0" w:lineRule="atLeast"/>
      <w:jc w:val="both"/>
    </w:pPr>
    <w:rPr>
      <w:rFonts w:ascii="Trebuchet MS" w:eastAsia="Trebuchet MS" w:hAnsi="Trebuchet MS" w:cs="Trebuchet MS"/>
      <w:b/>
      <w:bCs/>
      <w:sz w:val="18"/>
      <w:szCs w:val="18"/>
    </w:rPr>
  </w:style>
  <w:style w:type="paragraph" w:customStyle="1" w:styleId="Corpodeltesto70">
    <w:name w:val="Corpo del testo (7)"/>
    <w:basedOn w:val="Normale"/>
    <w:link w:val="Corpodeltesto7"/>
    <w:pPr>
      <w:shd w:val="clear" w:color="auto" w:fill="FFFFFF"/>
      <w:spacing w:line="274" w:lineRule="exact"/>
      <w:jc w:val="both"/>
    </w:pPr>
    <w:rPr>
      <w:rFonts w:ascii="Trebuchet MS" w:eastAsia="Trebuchet MS" w:hAnsi="Trebuchet MS" w:cs="Trebuchet MS"/>
      <w:b/>
      <w:bCs/>
      <w:i/>
      <w:iCs/>
      <w:sz w:val="19"/>
      <w:szCs w:val="19"/>
    </w:rPr>
  </w:style>
  <w:style w:type="paragraph" w:customStyle="1" w:styleId="Notaapidipagina0">
    <w:name w:val="Nota a piè di pagina"/>
    <w:basedOn w:val="Normale"/>
    <w:link w:val="Notaapidipagina"/>
    <w:pPr>
      <w:shd w:val="clear" w:color="auto" w:fill="FFFFFF"/>
      <w:spacing w:line="378" w:lineRule="exact"/>
    </w:pPr>
    <w:rPr>
      <w:rFonts w:ascii="Trebuchet MS" w:eastAsia="Trebuchet MS" w:hAnsi="Trebuchet MS" w:cs="Trebuchet MS"/>
      <w:b/>
      <w:bCs/>
      <w:sz w:val="18"/>
      <w:szCs w:val="18"/>
    </w:rPr>
  </w:style>
  <w:style w:type="paragraph" w:customStyle="1" w:styleId="Intestazioneopidipagina20">
    <w:name w:val="Intestazione o piè di pagina (2)"/>
    <w:basedOn w:val="Normale"/>
    <w:link w:val="Intestazioneopidipagina2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23"/>
      <w:szCs w:val="23"/>
    </w:rPr>
  </w:style>
  <w:style w:type="character" w:styleId="MacchinadascrivereHTML">
    <w:name w:val="HTML Typewriter"/>
    <w:basedOn w:val="Carpredefinitoparagrafo"/>
    <w:uiPriority w:val="99"/>
    <w:semiHidden/>
    <w:unhideWhenUsed/>
    <w:rsid w:val="00084DA4"/>
    <w:rPr>
      <w:rFonts w:ascii="Courier New" w:eastAsia="Times New Roman" w:hAnsi="Courier New" w:cs="Courier New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084DA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F6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F6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al.albofornitoriweb.it/web/public/albofornitori/registrazione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direzione</dc:creator>
  <cp:lastModifiedBy>user</cp:lastModifiedBy>
  <cp:revision>5</cp:revision>
  <cp:lastPrinted>2017-07-25T11:38:00Z</cp:lastPrinted>
  <dcterms:created xsi:type="dcterms:W3CDTF">2017-07-25T11:02:00Z</dcterms:created>
  <dcterms:modified xsi:type="dcterms:W3CDTF">2017-07-25T12:37:00Z</dcterms:modified>
</cp:coreProperties>
</file>